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svg" ContentType="image/svg+xml"/>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body>
    <w:p>
      <w:pPr>
        <w:spacing/>
        <w:jc w:val="right"/>
        <w:rPr>
          <w:rFonts w:ascii="Helvetica Neue" w:hAnsi="Helvetica Neue" w:eastAsia="Helvetica Neue" w:cs="Helvetica Neue"/>
          <w:b/>
          <w:bCs/>
          <w:sz w:val="24"/>
          <w:szCs w:val="24"/>
        </w:rPr>
      </w:pPr>
      <w:r>
        <w:rPr>
          <w:rFonts w:ascii="Helvetica Neue" w:hAnsi="Helvetica Neue" w:eastAsia="Helvetica Neue" w:cs="Helvetica Neue"/>
          <w:b/>
          <w:bCs/>
          <w:sz w:val="24"/>
          <w:szCs w:val="24"/>
        </w:rPr>
        <w:t>Transport Futures East Sussex</w:t>
      </w:r>
    </w:p>
    <w:p>
      <w:pPr>
        <w:spacing/>
        <w:jc w:val="right"/>
        <w:rPr>
          <w:rFonts w:ascii="Helvetica Neue" w:hAnsi="Helvetica Neue" w:eastAsia="Helvetica Neue" w:cs="Helvetica Neue"/>
          <w:b/>
          <w:bCs/>
          <w:sz w:val="24"/>
          <w:szCs w:val="24"/>
        </w:rPr>
      </w:pPr>
      <w:r>
        <w:rPr>
          <w:rFonts w:ascii="Helvetica Neue" w:hAnsi="Helvetica Neue" w:eastAsia="Helvetica Neue" w:cs="Helvetica Neue"/>
          <w:b/>
          <w:bCs/>
          <w:sz w:val="24"/>
          <w:szCs w:val="24"/>
        </w:rPr>
        <w:t>9 Mayfield Place</w:t>
      </w:r>
    </w:p>
    <w:p>
      <w:pPr>
        <w:spacing/>
        <w:jc w:val="right"/>
        <w:rPr>
          <w:rFonts w:ascii="Helvetica Neue" w:hAnsi="Helvetica Neue" w:eastAsia="Helvetica Neue" w:cs="Helvetica Neue"/>
          <w:b/>
          <w:bCs/>
          <w:sz w:val="24"/>
          <w:szCs w:val="24"/>
        </w:rPr>
      </w:pPr>
      <w:r>
        <w:rPr>
          <w:rFonts w:ascii="Helvetica Neue" w:hAnsi="Helvetica Neue" w:eastAsia="Helvetica Neue" w:cs="Helvetica Neue"/>
          <w:b/>
          <w:bCs/>
          <w:sz w:val="24"/>
          <w:szCs w:val="24"/>
        </w:rPr>
        <w:t>Eastbourne.</w:t>
      </w:r>
    </w:p>
    <w:p>
      <w:pPr>
        <w:spacing/>
        <w:jc w:val="right"/>
        <w:rPr>
          <w:rFonts w:ascii="Helvetica Neue" w:hAnsi="Helvetica Neue" w:eastAsia="Helvetica Neue" w:cs="Helvetica Neue"/>
          <w:b/>
          <w:bCs/>
          <w:sz w:val="24"/>
          <w:szCs w:val="24"/>
        </w:rPr>
      </w:pPr>
      <w:r>
        <w:rPr>
          <w:rFonts w:ascii="Helvetica Neue" w:hAnsi="Helvetica Neue" w:eastAsia="Helvetica Neue" w:cs="Helvetica Neue"/>
          <w:b/>
          <w:bCs/>
          <w:sz w:val="24"/>
          <w:szCs w:val="24"/>
        </w:rPr>
        <w:t>BN22 8XJ</w:t>
      </w:r>
    </w:p>
    <w:p>
      <w:pPr>
        <w:spacing/>
        <w:jc w:val="right"/>
        <w:rPr>
          <w:rFonts w:ascii="Helvetica Neue" w:hAnsi="Helvetica Neue" w:eastAsia="Helvetica Neue" w:cs="Helvetica Neue"/>
          <w:b/>
          <w:bCs/>
          <w:sz w:val="24"/>
          <w:szCs w:val="24"/>
        </w:rPr>
      </w:pPr>
      <w:r>
        <w:rPr>
          <w:rFonts w:ascii="Helvetica Neue" w:hAnsi="Helvetica Neue" w:eastAsia="Helvetica Neue" w:cs="Helvetica Neue"/>
          <w:b/>
          <w:bCs/>
          <w:sz w:val="24"/>
          <w:szCs w:val="24"/>
        </w:rPr>
        <w:t>0795 1084436</w:t>
      </w:r>
    </w:p>
    <w:p>
      <w:pPr>
        <w:spacing/>
        <w:jc w:val="right"/>
        <w:rPr>
          <w:rFonts w:ascii="Helvetica Neue" w:hAnsi="Helvetica Neue" w:eastAsia="Helvetica Neue" w:cs="Helvetica Neue"/>
          <w:b/>
          <w:bCs/>
          <w:sz w:val="24"/>
          <w:szCs w:val="24"/>
        </w:rPr>
      </w:pPr>
      <w:r>
        <w:rPr>
          <w:rFonts w:ascii="Helvetica Neue" w:hAnsi="Helvetica Neue" w:eastAsia="Helvetica Neue" w:cs="Helvetica Neue"/>
          <w:b/>
          <w:bCs/>
          <w:sz w:val="24"/>
          <w:szCs w:val="24"/>
        </w:rPr>
        <w:t>derrick.coffee@talk21.com</w:t>
      </w:r>
    </w:p>
    <w:p>
      <w:pPr>
        <w:spacing/>
        <w:jc w:val="right"/>
        <w:rPr>
          <w:rFonts w:ascii="Helvetica Neue" w:hAnsi="Helvetica Neue" w:eastAsia="Helvetica Neue" w:cs="Helvetica Neue"/>
          <w:b/>
          <w:bCs/>
          <w:sz w:val="24"/>
          <w:szCs w:val="24"/>
        </w:rPr>
      </w:pPr>
      <w:r>
        <w:rPr>
          <w:rFonts w:ascii="Helvetica Neue" w:hAnsi="Helvetica Neue" w:eastAsia="Helvetica Neue" w:cs="Helvetica Neue"/>
          <w:b/>
          <w:bCs/>
          <w:sz w:val="24"/>
          <w:szCs w:val="24"/>
        </w:rPr>
        <w:t>15</w:t>
      </w:r>
      <w:r>
        <w:rPr>
          <w:rFonts w:ascii="Helvetica Neue" w:hAnsi="Helvetica Neue" w:eastAsia="Helvetica Neue" w:cs="Helvetica Neue"/>
          <w:b/>
          <w:bCs/>
          <w:sz w:val="24"/>
          <w:szCs w:val="24"/>
          <w:vertAlign w:val="superscript"/>
        </w:rPr>
        <w:t>th</w:t>
      </w:r>
      <w:r>
        <w:rPr>
          <w:rFonts w:ascii="Helvetica Neue" w:hAnsi="Helvetica Neue" w:eastAsia="Helvetica Neue" w:cs="Helvetica Neue"/>
          <w:b/>
          <w:bCs/>
          <w:sz w:val="24"/>
          <w:szCs w:val="24"/>
        </w:rPr>
        <w:t xml:space="preserve"> November, 2025</w:t>
      </w:r>
    </w:p>
    <w:p>
      <w:pPr>
        <w:rPr>
          <w:rFonts w:ascii="Helvetica Neue" w:hAnsi="Helvetica Neue" w:eastAsia="Helvetica Neue" w:cs="Helvetica Neue"/>
          <w:b/>
          <w:bCs/>
          <w:sz w:val="24"/>
          <w:szCs w:val="24"/>
        </w:rPr>
      </w:pPr>
      <w:r>
        <w:rPr>
          <w:rFonts w:ascii="Helvetica Neue" w:hAnsi="Helvetica Neue" w:eastAsia="Helvetica Neue" w:cs="Helvetica Neue"/>
          <w:b/>
          <w:bCs/>
          <w:sz w:val="24"/>
          <w:szCs w:val="24"/>
        </w:rPr>
        <w:t>Dear Councilor Holt and colleagues,</w:t>
      </w:r>
    </w:p>
    <w:p>
      <w:pPr>
        <w:rPr>
          <w:rFonts w:ascii="Helvetica Neue" w:hAnsi="Helvetica Neue" w:eastAsia="Helvetica Neue" w:cs="Helvetica Neue"/>
          <w:b/>
          <w:bCs/>
          <w:sz w:val="24"/>
          <w:szCs w:val="24"/>
        </w:rPr>
      </w:pPr>
      <w:r>
        <w:rPr>
          <w:rFonts w:ascii="Helvetica Neue" w:hAnsi="Helvetica Neue" w:eastAsia="Helvetica Neue" w:cs="Helvetica Neue"/>
          <w:b/>
          <w:bCs/>
          <w:sz w:val="24"/>
          <w:szCs w:val="24"/>
        </w:rPr>
      </w:r>
    </w:p>
    <w:p>
      <w:pPr>
        <w:rPr>
          <w:rFonts w:ascii="Helvetica Neue" w:hAnsi="Helvetica Neue" w:eastAsia="Helvetica Neue" w:cs="Helvetica Neue"/>
          <w:b/>
          <w:bCs/>
          <w:sz w:val="24"/>
          <w:szCs w:val="24"/>
        </w:rPr>
      </w:pPr>
      <w:r>
        <w:rPr>
          <w:rFonts w:ascii="Helvetica Neue" w:hAnsi="Helvetica Neue" w:eastAsia="Helvetica Neue" w:cs="Helvetica Neue"/>
          <w:b/>
          <w:bCs/>
          <w:sz w:val="24"/>
          <w:szCs w:val="24"/>
        </w:rPr>
        <w:t>EASTBOURNE AIR QUALITY MANAGEMENT STRATEGY (DRAFT) - CONSULTATION.</w:t>
      </w:r>
    </w:p>
    <w:p>
      <w:pPr>
        <w:rPr>
          <w:rFonts w:ascii="Helvetica Neue" w:hAnsi="Helvetica Neue" w:eastAsia="Helvetica Neue" w:cs="Helvetica Neue"/>
          <w:b/>
          <w:bCs/>
          <w:sz w:val="24"/>
          <w:szCs w:val="24"/>
        </w:rPr>
      </w:pPr>
      <w:r>
        <w:rPr>
          <w:rFonts w:ascii="Helvetica Neue" w:hAnsi="Helvetica Neue" w:eastAsia="Helvetica Neue" w:cs="Helvetica Neue"/>
          <w:b/>
          <w:bCs/>
          <w:sz w:val="24"/>
          <w:szCs w:val="24"/>
        </w:rPr>
      </w:r>
    </w:p>
    <w:p>
      <w:pPr>
        <w:rPr>
          <w:rFonts w:ascii="Helvetica Neue" w:hAnsi="Helvetica Neue" w:eastAsia="Helvetica Neue" w:cs="Helvetica Neue"/>
          <w:b/>
          <w:bCs/>
          <w:sz w:val="24"/>
          <w:szCs w:val="24"/>
        </w:rPr>
      </w:pPr>
      <w:r>
        <w:rPr>
          <w:rFonts w:ascii="Helvetica Neue" w:hAnsi="Helvetica Neue" w:eastAsia="Helvetica Neue" w:cs="Helvetica Neue"/>
          <w:b/>
          <w:bCs/>
          <w:sz w:val="24"/>
          <w:szCs w:val="24"/>
        </w:rPr>
        <w:t>Response from Transport Futures, East Sussex:</w:t>
      </w:r>
    </w:p>
    <w:p>
      <w:pPr>
        <w:rPr>
          <w:rFonts w:ascii="Helvetica Neue" w:hAnsi="Helvetica Neue" w:eastAsia="Helvetica Neue" w:cs="Helvetica Neue"/>
          <w:b/>
          <w:bCs/>
          <w:sz w:val="24"/>
          <w:szCs w:val="24"/>
        </w:rPr>
      </w:pPr>
      <w:r>
        <w:rPr>
          <w:rFonts w:ascii="Helvetica Neue" w:hAnsi="Helvetica Neue" w:eastAsia="Helvetica Neue" w:cs="Helvetica Neue"/>
          <w:b/>
          <w:bCs/>
          <w:sz w:val="24"/>
          <w:szCs w:val="24"/>
        </w:rPr>
      </w:r>
    </w:p>
    <w:p>
      <w:pPr>
        <w:rPr>
          <w:rFonts w:ascii="Helvetica Neue" w:hAnsi="Helvetica Neue" w:eastAsia="Helvetica Neue" w:cs="Helvetica Neue"/>
          <w:b/>
          <w:bCs/>
          <w:sz w:val="24"/>
          <w:szCs w:val="24"/>
        </w:rPr>
      </w:pPr>
      <w:r>
        <w:rPr>
          <w:rFonts w:ascii="Helvetica Neue" w:hAnsi="Helvetica Neue" w:eastAsia="Helvetica Neue" w:cs="Helvetica Neue"/>
          <w:b/>
          <w:bCs/>
          <w:sz w:val="24"/>
          <w:szCs w:val="24"/>
        </w:rPr>
        <w:t>Thankyou for forwarding the Draft Strategy - our response follows:</w:t>
      </w:r>
    </w:p>
    <w:p>
      <w:pPr>
        <w:rPr>
          <w:rFonts w:ascii="Helvetica Neue" w:hAnsi="Helvetica Neue" w:eastAsia="Helvetica Neue" w:cs="Helvetica Neue"/>
          <w:b/>
          <w:bCs/>
          <w:sz w:val="24"/>
          <w:szCs w:val="24"/>
        </w:rPr>
      </w:pPr>
      <w:r>
        <w:rPr>
          <w:rFonts w:ascii="Helvetica Neue" w:hAnsi="Helvetica Neue" w:eastAsia="Helvetica Neue" w:cs="Helvetica Neue"/>
          <w:b/>
          <w:bCs/>
          <w:sz w:val="24"/>
          <w:szCs w:val="24"/>
        </w:rPr>
      </w:r>
    </w:p>
    <w:p>
      <w:pPr>
        <w:rPr>
          <w:rFonts w:ascii="Helvetica Neue" w:hAnsi="Helvetica Neue" w:eastAsia="Helvetica Neue" w:cs="Helvetica Neue"/>
          <w:b/>
          <w:bCs/>
          <w:sz w:val="24"/>
          <w:szCs w:val="24"/>
        </w:rPr>
      </w:pPr>
      <w:r>
        <w:rPr>
          <w:rFonts w:ascii="Helvetica Neue" w:hAnsi="Helvetica Neue" w:eastAsia="Helvetica Neue" w:cs="Helvetica Neue"/>
          <w:b/>
          <w:bCs/>
          <w:sz w:val="24"/>
          <w:szCs w:val="24"/>
        </w:rPr>
        <w:t>The document clearly describes objectives:</w:t>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sz w:val="23"/>
          <w:szCs w:val="23"/>
        </w:rPr>
      </w:pPr>
      <w:r>
        <w:rPr>
          <w:rFonts w:ascii="Arial" w:hAnsi="Arial" w:eastAsia="Arial" w:cs="Arial"/>
          <w:b/>
          <w:bCs/>
          <w:color w:val="1f3863"/>
          <w:sz w:val="23"/>
          <w:szCs w:val="23"/>
        </w:rPr>
        <w:t xml:space="preserve">Create and enhance places to support good air quality </w:t>
      </w:r>
      <w:r>
        <w:rPr>
          <w:rFonts w:ascii="Arial" w:hAnsi="Arial" w:eastAsia="Arial" w:cs="Arial"/>
          <w:sz w:val="23"/>
          <w:szCs w:val="23"/>
        </w:rPr>
        <w:t xml:space="preserve">by integrating air quality considerations into planning and development decisions, promoting green infrastructure and urban greening, and supporting sustainable development and climate-resilient communities. </w:t>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sz w:val="23"/>
          <w:szCs w:val="23"/>
        </w:rPr>
      </w:pPr>
      <w:r>
        <w:rPr>
          <w:rFonts w:ascii="Arial" w:hAnsi="Arial" w:eastAsia="Arial" w:cs="Arial"/>
          <w:b/>
          <w:bCs/>
          <w:color w:val="1f3863"/>
          <w:sz w:val="23"/>
          <w:szCs w:val="23"/>
        </w:rPr>
        <w:t xml:space="preserve">Enable the shift to zero and low emission transport </w:t>
      </w:r>
      <w:r>
        <w:rPr>
          <w:rFonts w:ascii="Arial" w:hAnsi="Arial" w:eastAsia="Arial" w:cs="Arial"/>
          <w:sz w:val="23"/>
          <w:szCs w:val="23"/>
        </w:rPr>
        <w:t xml:space="preserve">by improving infrastructure and accessibility for public transportation, cycling, and walking, as well as supporting the use and deployment of electric vehicles and charging stations, and reducing the need for internal combustion engine vehicles. </w:t>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1f3863"/>
          <w:sz w:val="23"/>
          <w:szCs w:val="23"/>
        </w:rPr>
      </w:pPr>
      <w:r>
        <w:rPr>
          <w:rFonts w:ascii="Arial" w:hAnsi="Arial" w:eastAsia="Arial" w:cs="Arial"/>
          <w:b/>
          <w:bCs/>
          <w:color w:val="1f3863"/>
          <w:sz w:val="23"/>
          <w:szCs w:val="23"/>
        </w:rPr>
      </w:r>
    </w:p>
    <w:p>
      <w:pPr>
        <w:rPr>
          <w:rFonts w:ascii="Helvetica Neue" w:hAnsi="Helvetica Neue" w:eastAsia="Helvetica Neue" w:cs="Helvetica Neue"/>
          <w:b/>
          <w:bCs/>
          <w:sz w:val="24"/>
          <w:szCs w:val="24"/>
        </w:rPr>
      </w:pPr>
      <w:r>
        <w:rPr>
          <w:rFonts w:ascii="Helvetica Neue" w:hAnsi="Helvetica Neue" w:eastAsia="Helvetica Neue" w:cs="Helvetica Neue"/>
          <w:b/>
          <w:bCs/>
          <w:sz w:val="24"/>
          <w:szCs w:val="24"/>
        </w:rPr>
        <w:t>The supporting aim at ‘3’ is universally accepted as essential:</w:t>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sz w:val="23"/>
          <w:szCs w:val="23"/>
        </w:rPr>
      </w:pPr>
      <w:r>
        <w:rPr>
          <w:rFonts w:ascii="Arial" w:hAnsi="Arial" w:eastAsia="Arial" w:cs="Arial"/>
          <w:b/>
          <w:bCs/>
          <w:color w:val="1f3863"/>
          <w:sz w:val="23"/>
          <w:szCs w:val="23"/>
        </w:rPr>
        <w:t xml:space="preserve">Ensure new developments are sustainably designed </w:t>
      </w:r>
      <w:r>
        <w:rPr>
          <w:rFonts w:ascii="Arial" w:hAnsi="Arial" w:eastAsia="Arial" w:cs="Arial"/>
          <w:sz w:val="23"/>
          <w:szCs w:val="23"/>
        </w:rPr>
        <w:t xml:space="preserve">and built through working with planners and developers. </w:t>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sz w:val="23"/>
          <w:szCs w:val="23"/>
        </w:rPr>
      </w:pPr>
      <w:r>
        <w:rPr>
          <w:rFonts w:ascii="Arial" w:hAnsi="Arial" w:eastAsia="Arial" w:cs="Arial"/>
          <w:sz w:val="23"/>
          <w:szCs w:val="23"/>
        </w:rPr>
      </w:r>
    </w:p>
    <w:p>
      <w:pPr>
        <w:rPr>
          <w:rFonts w:ascii="Helvetica Neue" w:hAnsi="Helvetica Neue" w:eastAsia="Helvetica Neue" w:cs="Helvetica Neue"/>
          <w:sz w:val="24"/>
          <w:szCs w:val="24"/>
        </w:rPr>
      </w:pPr>
      <w:r>
        <w:rPr>
          <w:rFonts w:ascii="Helvetica Neue" w:hAnsi="Helvetica Neue" w:eastAsia="Helvetica Neue" w:cs="Helvetica Neue"/>
          <w:sz w:val="24"/>
          <w:szCs w:val="24"/>
        </w:rPr>
        <w:t xml:space="preserve">These objectives and outline solutions as to how they may be attained are positive. It remains for all stakeholders and organisations to determine what measures stand a realistic chance of delivering improvements in air quality and co-benefits (e.g. biodiversity gain, health improvements) wherever possible, remembering that decision makers are advocates for all children and young adults and that: developers and planners must be equal partners - this is not always the case. </w:t>
      </w:r>
    </w:p>
    <w:p>
      <w:pPr>
        <w:rPr>
          <w:rFonts w:ascii="Helvetica Neue" w:hAnsi="Helvetica Neue" w:eastAsia="Helvetica Neue" w:cs="Helvetica Neue"/>
          <w:sz w:val="24"/>
          <w:szCs w:val="24"/>
        </w:rPr>
      </w:pPr>
      <w:r>
        <w:rPr>
          <w:rFonts w:ascii="Helvetica Neue" w:hAnsi="Helvetica Neue" w:eastAsia="Helvetica Neue" w:cs="Helvetica Neue"/>
          <w:sz w:val="24"/>
          <w:szCs w:val="24"/>
        </w:rPr>
      </w:r>
    </w:p>
    <w:p>
      <w:pPr>
        <w:rPr>
          <w:rFonts w:ascii="Helvetica Neue" w:hAnsi="Helvetica Neue" w:eastAsia="Helvetica Neue" w:cs="Helvetica Neue"/>
          <w:sz w:val="24"/>
          <w:szCs w:val="24"/>
        </w:rPr>
      </w:pPr>
      <w:r>
        <w:rPr>
          <w:rFonts w:ascii="Helvetica Neue" w:hAnsi="Helvetica Neue" w:eastAsia="Helvetica Neue" w:cs="Helvetica Neue"/>
          <w:sz w:val="24"/>
          <w:szCs w:val="24"/>
        </w:rPr>
        <w:t>We remain a town where private motorised transport is dominant, holds up buses, pollutes the air, intimidates and deters pedestrians and cyclists through speeding and noise, and too often occupies pavements.  Cars are increasing in size and LGV vehicle numbers continue to grow.</w:t>
      </w:r>
    </w:p>
    <w:p>
      <w:pPr>
        <w:rPr>
          <w:rFonts w:ascii="Helvetica Neue" w:hAnsi="Helvetica Neue" w:eastAsia="Helvetica Neue" w:cs="Helvetica Neue"/>
          <w:sz w:val="24"/>
          <w:szCs w:val="24"/>
        </w:rPr>
      </w:pPr>
      <w:r>
        <w:rPr>
          <w:rFonts w:ascii="Helvetica Neue" w:hAnsi="Helvetica Neue" w:eastAsia="Helvetica Neue" w:cs="Helvetica Neue"/>
          <w:sz w:val="24"/>
          <w:szCs w:val="24"/>
        </w:rPr>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1f3863"/>
          <w:sz w:val="24"/>
          <w:szCs w:val="24"/>
        </w:rPr>
      </w:pPr>
      <w:r>
        <w:rPr>
          <w:rFonts w:ascii="Helvetica Neue" w:hAnsi="Helvetica Neue" w:eastAsia="Helvetica Neue" w:cs="Helvetica Neue"/>
          <w:b/>
          <w:bCs/>
          <w:color w:val="1f3863"/>
          <w:sz w:val="24"/>
          <w:szCs w:val="24"/>
        </w:rPr>
        <w:t>Objective: Enable the shift to net zero and low emission transport</w:t>
      </w:r>
      <w:r>
        <w:rPr>
          <w:rFonts w:ascii="Arial" w:hAnsi="Arial" w:eastAsia="Arial" w:cs="Arial"/>
          <w:b/>
          <w:bCs/>
          <w:color w:val="1f3863"/>
          <w:sz w:val="24"/>
          <w:szCs w:val="24"/>
        </w:rPr>
        <w:t xml:space="preserve"> </w:t>
      </w:r>
      <w:r>
        <w:rPr>
          <w:rFonts w:ascii="Arial" w:hAnsi="Arial" w:eastAsia="Arial" w:cs="Arial"/>
          <w:b/>
          <w:bCs/>
          <w:color w:val="1f3863"/>
          <w:sz w:val="24"/>
          <w:szCs w:val="24"/>
        </w:rPr>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1f3863"/>
          <w:sz w:val="24"/>
          <w:szCs w:val="24"/>
        </w:rPr>
      </w:pPr>
      <w:r>
        <w:rPr>
          <w:rFonts w:ascii="Arial" w:hAnsi="Arial" w:eastAsia="Arial" w:cs="Arial"/>
          <w:b/>
          <w:bCs/>
          <w:color w:val="1f3863"/>
          <w:sz w:val="24"/>
          <w:szCs w:val="24"/>
        </w:rPr>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 xml:space="preserve">It is suggested that this objective will be achieved by: </w:t>
      </w:r>
    </w:p>
    <w:p>
      <w:pPr>
        <w:numPr>
          <w:ilvl w:val="0"/>
          <w:numId w:val="4"/>
        </w:numPr>
        <w:ind w:left="360" w:hanging="360"/>
        <w:spacing w:after="80"/>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 xml:space="preserve">Encouraging people to make more sustainable travel choices, in particular through supporting bus patronage and raising awareness of improved bus routes, passenger comfort (e.g. provision of wi-fi on buses, and timetable apps) and capped fares. </w:t>
      </w:r>
    </w:p>
    <w:p>
      <w:pPr>
        <w:numPr>
          <w:ilvl w:val="0"/>
          <w:numId w:val="4"/>
        </w:numPr>
        <w:ind w:left="360" w:hanging="360"/>
        <w:spacing w:after="80"/>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 xml:space="preserve">Working with taxi drivers and other fleet owners to support the transition to operation of zero and low emission vehicles. </w:t>
      </w:r>
    </w:p>
    <w:p>
      <w:pPr>
        <w:numPr>
          <w:ilvl w:val="0"/>
          <w:numId w:val="4"/>
        </w:numPr>
        <w:ind w:left="360" w:hanging="360"/>
        <w:spacing w:after="80"/>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 xml:space="preserve">Seeking funding for provision of electric vehicle charging infrastructure, including in new developments. </w:t>
      </w:r>
    </w:p>
    <w:p>
      <w:pPr>
        <w:numPr>
          <w:ilvl w:val="0"/>
          <w:numId w:val="4"/>
        </w:numPr>
        <w:ind w:left="360" w:hanging="360"/>
        <w:spacing w:after="80"/>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 xml:space="preserve">Supporting East Sussex County Council in improving infrastructure to encourage more people to walk, cycle or use public transport. </w:t>
      </w:r>
    </w:p>
    <w:p>
      <w:pPr>
        <w:numPr>
          <w:ilvl w:val="0"/>
          <w:numId w:val="4"/>
        </w:numPr>
        <w:ind w:left="360" w:hanging="360"/>
        <w:spacing w:after="80"/>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 xml:space="preserve">Carrying out educational campaigns to promote behaviour change. </w:t>
      </w:r>
    </w:p>
    <w:p>
      <w:pPr>
        <w:numPr>
          <w:ilvl w:val="0"/>
          <w:numId w:val="4"/>
        </w:numPr>
        <w:ind w:left="360" w:hanging="360"/>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 xml:space="preserve">Promote speed limit controls in certain areas where viable (e.g. in conjunction with Play Streets). </w:t>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We note the potential crucial role of East Sussex County Council (and the future role of the successor Transport Authority)  in transforming the transport environment to deliver better places for people to grow up, play and live healthy and happpy lives, where cleaner air and greater biodiversity are features, but Eastbourne Borough Council has expresseed willingness to collaborate and is free to offer suggestions  positively critical of the status quo. Now is the time to do so. Here are some key measures:</w:t>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Abandon uncritical support for EVs: exchanging petrol/diesel vehicles for these does nothing to reduce traffic congestion, collisions, urban sprawl or resource consumption - and ‘car dependency’ damages public health and perpetuates poor urban design. It also hampers remediation in traffic blighted areas.</w:t>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Beating congestion requires a greater role for shared transport - bus, rail, tram - along with optimised and high quality pedestrian and cycle routes and housing developments designed around these. Eastbourne’s topography is overwhelmingly suited to walking and cycling. Currently, congestion is rife plays havoc with bus service schedules, and causes reputational damage to the bus operators.</w:t>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A redesign of road space - e.g. at flared junctions and at high entry/exit speed roundabouts - to remove barriers to pedestrians and cyclists giving more space for biodiversity gain while filtering out noise and particulates.</w:t>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Less traffic = more room for all sustainable modes.</w:t>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 xml:space="preserve">Quickly deliver 20mph default speed limits in residential streets. More data has now been released around the Welsh adoption of 20mph limits highlighting real benefits. </w:t>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Benefits: cleaner air, less noise, fewer road casualties, fewer vehicle collisions, safer conditions for pedestrians/cyclists, children may more safely socialise near home, car insurance significantly cheaper, all routes to school safer and delivered more cheaply and quickly.</w:t>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Include comprehensive public transport guide to be prominently featured in tourism related publicity with routes and maps (destinations, most scenic stretches of railwaylines/bus routes/LCN). Press for ‘runabout,’ area intermodal tickets - and produce multi-lingual guides. Explore implementation of this through the Local Visitor Economy Partnership - LVEP. The current (2025) ‘Visit Eastbourne’ is weak in this respect. Residents of Eastbourne and surrounding areas themselves would benefit from better transport related publicity with good penetration to reach all residents.</w:t>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I have commented on the paragraphs below after each one:</w:t>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sz w:val="24"/>
          <w:szCs w:val="24"/>
        </w:rPr>
      </w:pPr>
      <w:r>
        <w:rPr>
          <w:rFonts w:ascii="Arial" w:hAnsi="Arial" w:eastAsia="Arial" w:cs="Arial"/>
          <w:sz w:val="24"/>
          <w:szCs w:val="24"/>
        </w:rPr>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i/>
          <w:iCs/>
          <w:sz w:val="23"/>
          <w:szCs w:val="23"/>
        </w:rPr>
      </w:pPr>
      <w:r>
        <w:rPr>
          <w:rFonts w:ascii="Arial" w:hAnsi="Arial" w:eastAsia="Arial" w:cs="Arial"/>
          <w:i/>
          <w:iCs/>
          <w:sz w:val="23"/>
          <w:szCs w:val="23"/>
        </w:rPr>
        <w:t xml:space="preserve">Working with and supporting East Sussex County Council in committing to implementing Schools Streets across Eastbourne where this is feasible. The initial target is three schools with progression to be detailed in the Annual Status Reports. </w:t>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i/>
          <w:iCs/>
          <w:sz w:val="23"/>
          <w:szCs w:val="23"/>
        </w:rPr>
      </w:pPr>
      <w:r>
        <w:rPr>
          <w:rFonts w:ascii="Arial" w:hAnsi="Arial" w:eastAsia="Arial" w:cs="Arial"/>
          <w:i/>
          <w:iCs/>
          <w:sz w:val="23"/>
          <w:szCs w:val="23"/>
        </w:rPr>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sz w:val="23"/>
          <w:szCs w:val="23"/>
        </w:rPr>
      </w:pPr>
      <w:r>
        <w:rPr>
          <w:rFonts w:ascii="Arial" w:hAnsi="Arial" w:eastAsia="Arial" w:cs="Arial"/>
          <w:sz w:val="23"/>
          <w:szCs w:val="23"/>
        </w:rPr>
        <w:t>Progress appears to be very slow and a junior school age child would be unlikely to see fruition of a scheme in their school career. A ‘universal 20mph default’ in all residential streets would bring benefits in a relatively short timescale as has been demonstrated elsewhere. It would also aid safe access to the emerging cycle metwork defined by LCWIP (Local Cycling and Walking Implementation Plan).</w:t>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sz w:val="23"/>
          <w:szCs w:val="23"/>
        </w:rPr>
      </w:pPr>
      <w:r>
        <w:rPr>
          <w:rFonts w:ascii="Arial" w:hAnsi="Arial" w:eastAsia="Arial" w:cs="Arial"/>
          <w:sz w:val="23"/>
          <w:szCs w:val="23"/>
        </w:rPr>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sz w:val="23"/>
          <w:szCs w:val="23"/>
        </w:rPr>
      </w:pPr>
      <w:r>
        <w:rPr>
          <w:rFonts w:ascii="Arial" w:hAnsi="Arial" w:eastAsia="Arial" w:cs="Arial"/>
          <w:sz w:val="23"/>
          <w:szCs w:val="23"/>
        </w:rPr>
        <w:t xml:space="preserve">Separately but related, there would be value in restoring the annual  ‘Mode of travel to school’ questionnaire from ESCC, This would produce very useful data very cheaply - numerically and spatially not just useful but essential. </w:t>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i/>
          <w:iCs/>
          <w:sz w:val="23"/>
          <w:szCs w:val="23"/>
        </w:rPr>
      </w:pPr>
      <w:r>
        <w:rPr>
          <w:rFonts w:ascii="Arial" w:hAnsi="Arial" w:eastAsia="Arial" w:cs="Arial"/>
          <w:i/>
          <w:iCs/>
          <w:sz w:val="23"/>
          <w:szCs w:val="23"/>
        </w:rPr>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i/>
          <w:iCs/>
          <w:sz w:val="23"/>
          <w:szCs w:val="23"/>
        </w:rPr>
      </w:pPr>
      <w:r>
        <w:rPr>
          <w:rFonts w:ascii="Arial" w:hAnsi="Arial" w:eastAsia="Arial" w:cs="Arial"/>
          <w:i/>
          <w:iCs/>
          <w:sz w:val="23"/>
          <w:szCs w:val="23"/>
        </w:rPr>
        <w:t>Supporting bus patronage across the town and county through active participation in the Bus Service Improvement Plan working group and developing focused communications to advertise benefits of travel by bus.</w:t>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i/>
          <w:iCs/>
          <w:sz w:val="23"/>
          <w:szCs w:val="23"/>
        </w:rPr>
      </w:pPr>
      <w:r>
        <w:rPr>
          <w:rFonts w:ascii="Arial" w:hAnsi="Arial" w:eastAsia="Arial" w:cs="Arial"/>
          <w:i/>
          <w:iCs/>
          <w:sz w:val="23"/>
          <w:szCs w:val="23"/>
        </w:rPr>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sz w:val="23"/>
          <w:szCs w:val="23"/>
        </w:rPr>
      </w:pPr>
      <w:r>
        <w:rPr>
          <w:rFonts w:ascii="Arial" w:hAnsi="Arial" w:eastAsia="Arial" w:cs="Arial"/>
          <w:sz w:val="23"/>
          <w:szCs w:val="23"/>
        </w:rPr>
        <w:t xml:space="preserve">We would strongly support this initiative </w:t>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i/>
          <w:iCs/>
          <w:sz w:val="23"/>
          <w:szCs w:val="23"/>
        </w:rPr>
      </w:pPr>
      <w:r>
        <w:rPr>
          <w:rFonts w:ascii="Arial" w:hAnsi="Arial" w:eastAsia="Arial" w:cs="Arial"/>
          <w:i/>
          <w:iCs/>
          <w:sz w:val="23"/>
          <w:szCs w:val="23"/>
        </w:rPr>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i/>
          <w:iCs/>
          <w:sz w:val="23"/>
          <w:szCs w:val="23"/>
        </w:rPr>
      </w:pPr>
      <w:r>
        <w:rPr>
          <w:rFonts w:ascii="Arial" w:hAnsi="Arial" w:eastAsia="Arial" w:cs="Arial"/>
          <w:i/>
          <w:iCs/>
          <w:sz w:val="23"/>
          <w:szCs w:val="23"/>
        </w:rPr>
        <w:t>Encouraging and supporting new and safe cycle lanes through East Sussex Highways funding, and through planning policy by ensuring cycle lanes are installed in new major developments to link up to existing routes.</w:t>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i/>
          <w:iCs/>
          <w:sz w:val="23"/>
          <w:szCs w:val="23"/>
        </w:rPr>
      </w:pPr>
      <w:r>
        <w:rPr>
          <w:rFonts w:ascii="Arial" w:hAnsi="Arial" w:eastAsia="Arial" w:cs="Arial"/>
          <w:i/>
          <w:iCs/>
          <w:sz w:val="23"/>
          <w:szCs w:val="23"/>
        </w:rPr>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sz w:val="23"/>
          <w:szCs w:val="23"/>
        </w:rPr>
      </w:pPr>
      <w:r>
        <w:rPr>
          <w:rFonts w:ascii="Arial" w:hAnsi="Arial" w:eastAsia="Arial" w:cs="Arial"/>
          <w:sz w:val="23"/>
          <w:szCs w:val="23"/>
        </w:rPr>
        <w:t>Strongly support these suggested outcomes. We would also hope that all potential funding sources are investigated.</w:t>
      </w:r>
    </w:p>
    <w:p>
      <w:pPr>
        <w:rPr>
          <w:rFonts w:ascii="Helvetica Neue" w:hAnsi="Helvetica Neue" w:eastAsia="Helvetica Neue" w:cs="Helvetica Neue"/>
          <w:b/>
          <w:bCs/>
          <w:sz w:val="24"/>
          <w:szCs w:val="24"/>
        </w:rPr>
      </w:pPr>
      <w:r>
        <w:rPr>
          <w:rFonts w:ascii="Helvetica Neue" w:hAnsi="Helvetica Neue" w:eastAsia="Helvetica Neue" w:cs="Helvetica Neue"/>
          <w:b/>
          <w:bCs/>
          <w:sz w:val="24"/>
          <w:szCs w:val="24"/>
        </w:rPr>
      </w:r>
    </w:p>
    <w:p>
      <w:pPr>
        <w:rPr>
          <w:rFonts w:ascii="Helvetica Neue" w:hAnsi="Helvetica Neue" w:eastAsia="Helvetica Neue" w:cs="Helvetica Neue"/>
          <w:b/>
          <w:bCs/>
          <w:sz w:val="24"/>
          <w:szCs w:val="24"/>
        </w:rPr>
      </w:pPr>
      <w:r>
        <w:rPr>
          <w:rFonts w:ascii="Helvetica Neue" w:hAnsi="Helvetica Neue" w:eastAsia="Helvetica Neue" w:cs="Helvetica Neue"/>
          <w:b/>
          <w:bCs/>
          <w:sz w:val="24"/>
          <w:szCs w:val="24"/>
        </w:rPr>
        <w:t>Proliferation of LGVs</w:t>
      </w:r>
    </w:p>
    <w:p>
      <w:pPr>
        <w:rPr>
          <w:rFonts w:ascii="Helvetica Neue" w:hAnsi="Helvetica Neue" w:eastAsia="Helvetica Neue" w:cs="Helvetica Neue"/>
          <w:sz w:val="24"/>
          <w:szCs w:val="24"/>
        </w:rPr>
      </w:pPr>
      <w:r>
        <w:rPr>
          <w:rFonts w:ascii="Helvetica Neue" w:hAnsi="Helvetica Neue" w:eastAsia="Helvetica Neue" w:cs="Helvetica Neue"/>
          <w:sz w:val="24"/>
          <w:szCs w:val="24"/>
        </w:rPr>
        <w:t>LGVs are a fast growing component of overall traffic on all classes of road and conspicuously among the greatest emitters of CO2.</w:t>
      </w:r>
    </w:p>
    <w:p>
      <w:pPr>
        <w:rPr>
          <w:rFonts w:ascii="Helvetica Neue" w:hAnsi="Helvetica Neue" w:eastAsia="Helvetica Neue" w:cs="Helvetica Neue"/>
          <w:sz w:val="24"/>
          <w:szCs w:val="24"/>
        </w:rPr>
      </w:pPr>
      <w:r>
        <w:rPr>
          <w:rFonts w:ascii="Helvetica Neue" w:hAnsi="Helvetica Neue" w:eastAsia="Helvetica Neue" w:cs="Helvetica Neue"/>
          <w:sz w:val="24"/>
          <w:szCs w:val="24"/>
        </w:rPr>
      </w:r>
    </w:p>
    <w:p>
      <w:pPr>
        <w:rPr>
          <w:rFonts w:ascii="Helvetica Neue" w:hAnsi="Helvetica Neue" w:eastAsia="Helvetica Neue" w:cs="Helvetica Neue"/>
          <w:sz w:val="24"/>
          <w:szCs w:val="24"/>
        </w:rPr>
      </w:pPr>
      <w:r>
        <w:rPr>
          <w:rFonts w:ascii="Helvetica Neue" w:hAnsi="Helvetica Neue" w:eastAsia="Helvetica Neue" w:cs="Helvetica Neue"/>
          <w:sz w:val="24"/>
          <w:szCs w:val="24"/>
        </w:rPr>
        <w:t>The Transport Secretary’s agenda through the Railways Bill includes:</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
          <w:bCs/>
          <w:i/>
          <w:iCs/>
          <w:sz w:val="24"/>
          <w:szCs w:val="24"/>
        </w:rPr>
      </w:pPr>
      <w:r>
        <w:rPr>
          <w:rFonts w:ascii="Helvetica Neue" w:hAnsi="Helvetica Neue" w:eastAsia="Helvetica Neue" w:cs="Helvetica Neue"/>
          <w:b/>
          <w:bCs/>
          <w:i/>
          <w:iCs/>
          <w:sz w:val="24"/>
          <w:szCs w:val="24"/>
        </w:rPr>
        <w:t>....increasing the use of rail freight. And:</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
          <w:bCs/>
          <w:i/>
          <w:iCs/>
          <w:sz w:val="24"/>
          <w:szCs w:val="24"/>
        </w:rPr>
      </w:pPr>
      <w:r>
        <w:rPr>
          <w:rFonts w:ascii="Helvetica Neue" w:hAnsi="Helvetica Neue" w:eastAsia="Helvetica Neue" w:cs="Helvetica Neue"/>
          <w:b/>
          <w:bCs/>
          <w:i/>
          <w:iCs/>
          <w:sz w:val="24"/>
          <w:szCs w:val="24"/>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
          <w:bCs/>
          <w:i/>
          <w:iCs/>
          <w:sz w:val="24"/>
          <w:szCs w:val="24"/>
        </w:rPr>
      </w:pPr>
      <w:r>
        <w:rPr>
          <w:rFonts w:ascii="Helvetica Neue" w:hAnsi="Helvetica Neue" w:eastAsia="Helvetica Neue" w:cs="Helvetica Neue"/>
          <w:b/>
          <w:bCs/>
          <w:i/>
          <w:iCs/>
          <w:sz w:val="24"/>
          <w:szCs w:val="24"/>
        </w:rPr>
        <w:t>....</w:t>
      </w:r>
      <w:r>
        <w:rPr>
          <w:rFonts w:ascii="Helvetica Neue" w:hAnsi="Helvetica Neue" w:eastAsia="Helvetica Neue" w:cs="Helvetica Neue"/>
          <w:sz w:val="24"/>
          <w:szCs w:val="24"/>
        </w:rPr>
        <w:t xml:space="preserve">(Rail freight is a crucial tool in)  </w:t>
      </w:r>
      <w:r>
        <w:rPr>
          <w:rFonts w:ascii="Helvetica Neue" w:hAnsi="Helvetica Neue" w:eastAsia="Helvetica Neue" w:cs="Helvetica Neue"/>
          <w:b/>
          <w:bCs/>
          <w:i/>
          <w:iCs/>
          <w:sz w:val="24"/>
          <w:szCs w:val="24"/>
        </w:rPr>
        <w:t>bringing down overall transport emissions as we drive towards net zero, through both modal shift and transporting greener fuels that will allow other sectors to decarbonise.</w:t>
      </w:r>
      <w:r>
        <w:rPr>
          <w:rFonts w:ascii="Helvetica Neue" w:hAnsi="Helvetica Neue" w:eastAsia="Helvetica Neue" w:cs="Helvetica Neue"/>
          <w:b/>
          <w:bCs/>
          <w:i/>
          <w:iCs/>
          <w:sz w:val="24"/>
          <w:szCs w:val="24"/>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 xml:space="preserve">The DfT in a meeting with TFSE in London, explained that, as increasing the levels of light goods ( including parcels) by rail was a recognised aspiration they had looked at station premises (Waterloo undercroft was mentioned) to examine feasibility of transporting such goods. There are already a significant number of converted ex-passenger trains which could transport such light goods over long and medium distances for onward ‘last mile delivery’ by electric vehicles. This would offer a greener alternative to diesel LGVs which are among the greatest emitters of CO2. Some of these trains do run (operator </w:t>
      </w:r>
      <w:r>
        <w:rPr>
          <w:rFonts w:ascii="Helvetica Neue" w:hAnsi="Helvetica Neue" w:eastAsia="Helvetica Neue" w:cs="Helvetica Neue"/>
          <w:b/>
          <w:bCs/>
          <w:sz w:val="24"/>
          <w:szCs w:val="24"/>
        </w:rPr>
        <w:t>Varamis</w:t>
      </w:r>
      <w:r>
        <w:rPr>
          <w:rFonts w:ascii="Helvetica Neue" w:hAnsi="Helvetica Neue" w:eastAsia="Helvetica Neue" w:cs="Helvetica Neue"/>
          <w:sz w:val="24"/>
          <w:szCs w:val="24"/>
        </w:rPr>
        <w:t>) between Glasgow - Preston and London. Many stations have such space, often formerly used for mail collection/distribution, and these exist in East Sussex.</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 xml:space="preserve">A feasibility study (even a desktop study for a start) and - if possible - some demonstration stations and catchments could be useful. It would be consistent with efforts to bring down overall transport emissions. Please see notes below on additions to ‘T’ policies </w:t>
      </w:r>
      <w:r>
        <w:rPr>
          <w:rFonts w:ascii="Helvetica Neue" w:hAnsi="Helvetica Neue" w:eastAsia="Helvetica Neue" w:cs="Helvetica Neue"/>
          <w:b/>
          <w:bCs/>
          <w:sz w:val="24"/>
          <w:szCs w:val="24"/>
        </w:rPr>
        <w:t>(Additions ‘T’ )</w:t>
      </w:r>
      <w:r>
        <w:rPr>
          <w:rFonts w:ascii="Helvetica Neue" w:hAnsi="Helvetica Neue" w:eastAsia="Helvetica Neue" w:cs="Helvetica Neue"/>
          <w:sz w:val="24"/>
          <w:szCs w:val="24"/>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T1.T2, - support.</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T3 - could mention wider number of venues to illustrate Eastbourne is in an area with many attractions for many audiences. This would fit with LVEP’s developmental function and aims at T4</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T5 - For LVEP to consider: Family holidays with cycles could be made attractive with eastern South Downs/Low Weald and Pevensey Levels looked at as a whole. Cycle carrying buses have been tried but somewhat half-heartedly - time to revisit this option. Some traffic restraint needed on lanes which could then become attractive to that audience.</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LVEP might usefully consider a brochure (printed/online) promoting car free holidays.</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T6 and T7 - fine.</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 xml:space="preserve">T8 I believe that we should have the easily obtainable and very valuable School Travel Mode database. It would highlight problems and opportunities and give a numerical and spatial ‘picture’. ESCC to do this asap. </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T9 - in tandem with LVEP work</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T10,11,12 - fine.</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T13 - Provision of pedestrian/cycle routes across station car park. Pedestrians outnumber car borne drivers/passengers by more tha 10:1. They have no formal/legal rights. That’s wrong! When winter comes, it is obvious that the Commercial Road entrance to the station is poorly lit.</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T14 Fine</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T15 Could we phrase it ’5% of integral cycle routes’ . Integrity is what’s is required, not bits!</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b/>
          <w:bCs/>
          <w:sz w:val="24"/>
          <w:szCs w:val="24"/>
        </w:rPr>
        <w:t xml:space="preserve">Additions ‘T’ </w:t>
      </w:r>
      <w:r>
        <w:rPr>
          <w:rFonts w:ascii="Helvetica Neue" w:hAnsi="Helvetica Neue" w:eastAsia="Helvetica Neue" w:cs="Helvetica Neue"/>
          <w:sz w:val="24"/>
          <w:szCs w:val="24"/>
        </w:rPr>
        <w:t xml:space="preserve"> insert: Work with ESCC, TFSE and DfT to investigate possibilities to utilise rail+electric vehicle last mile delivery systems to cap and reduce LGV impacts on all our residential streets and distributor/major roads. </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b/>
          <w:bCs/>
          <w:sz w:val="24"/>
          <w:szCs w:val="24"/>
        </w:rPr>
        <w:t xml:space="preserve">Additions ‘T’ </w:t>
      </w:r>
      <w:r>
        <w:rPr>
          <w:rFonts w:ascii="Helvetica Neue" w:hAnsi="Helvetica Neue" w:eastAsia="Helvetica Neue" w:cs="Helvetica Neue"/>
          <w:sz w:val="24"/>
          <w:szCs w:val="24"/>
        </w:rPr>
        <w:t xml:space="preserve">insert: Work with ESCC to determine locations and continuing programme of bus priority measures </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B1 Should be ‘Reverse decline’ not ‘Arrest...’</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B3,4,5,6 - Fine</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B7 Trees planted with name of tree/species on tags please, not just QR code. This would help the very young and the elderly and aid literacy and create interest - and celebrate the wonderful gift of language without an obligation to use an electronic device.</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B8 - 14 - Fine</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B15 No houses to be built with ‘blanket paving’ or 100% impermeable frontage. No vehicle incursion on footway or planted verges.</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All residential developments to be walkable, cycleable, biodiverse.</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Regards,</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Derrick (Derrick Coffee, County Officer, Transport Futures East Sussex).</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r>
    </w:p>
    <w:sectPr>
      <w:footnotePr>
        <w:pos w:val="pageBottom"/>
        <w:numFmt w:val="decimal"/>
        <w:numStart w:val="1"/>
        <w:numRestart w:val="continuous"/>
      </w:footnotePr>
      <w:endnotePr>
        <w:pos w:val="docEnd"/>
        <w:numFmt w:val="lowerRoman"/>
        <w:numStart w:val="1"/>
        <w:numRestart w:val="continuous"/>
      </w:endnotePr>
      <w:type w:val="continuous"/>
      <w:pgSz w:h="16839" w:w="11907"/>
      <w:pgMar w:left="1134" w:top="1134" w:right="1134" w:bottom="1134" w:header="0" w:footer="0"/>
      <w:paperSrc w:first="0" w:other="0" a="0" b="0"/>
      <w:pgNumType w:fmt="decimal"/>
      <w:tmGutter w:val="1"/>
      <w:mirrorMargins w:val="0"/>
      <w:tmSection w:h="-1"/>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Basic Roman">
    <w:charset w:val="00"/>
    <w:family w:val="roman"/>
    <w:pitch w:val="default"/>
  </w:font>
  <w:font w:name="Basic Sans">
    <w:charset w:val="00"/>
    <w:family w:val="roman"/>
    <w:pitch w:val="default"/>
  </w:font>
  <w:font w:name="Times New Roman">
    <w:charset w:val="00"/>
    <w:family w:val="roman"/>
    <w:pitch w:val="default"/>
  </w:font>
  <w:font w:name="SimSun">
    <w:charset w:val="00"/>
    <w:family w:val="auto"/>
    <w:pitch w:val="default"/>
  </w:font>
  <w:font w:name="Arial">
    <w:charset w:val="00"/>
    <w:family w:val="swiss"/>
    <w:pitch w:val="default"/>
  </w:font>
  <w:font w:name="Helvetica Neue">
    <w:charset w:val="00"/>
    <w:family w:val="roman"/>
    <w:pitch w:val="default"/>
  </w:font>
  <w:font w:name="Wingdings">
    <w:charset w:val="02"/>
    <w:family w:val="auto"/>
    <w:pitch w:val="default"/>
  </w:font>
  <w:font w:name="Apple SD Gothic Neo ExtraBold">
    <w:charset w:val="00"/>
    <w:family w:val="roman"/>
    <w:pitch w:val="default"/>
  </w:font>
  <w:font w:name="Avenir Next Bold Italic">
    <w:charset w:val="00"/>
    <w:family w:val="roman"/>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abstractNum w:abstractNumId="0">
    <w:multiLevelType w:val="hybridMultilevel"/>
    <w:tmNoNumList/>
    <w:lvl w:ilvl="0">
      <w:numFmt w:val="none"/>
      <w:lvlText w:val=""/>
      <w:lvlJc w:val="left"/>
      <w:pPr>
        <w:tabs>
          <w:tab w:val="num" w:pos="360"/>
        </w:tabs>
        <w:ind w:left="360" w:hanging="360"/>
      </w:pPr>
    </w:lvl>
    <w:lvl w:ilvl="1">
      <w:numFmt w:val="none"/>
      <w:lvlText w:val=""/>
      <w:lvlJc w:val="left"/>
      <w:pPr>
        <w:tabs>
          <w:tab w:val="num" w:pos="360"/>
        </w:tabs>
        <w:ind w:left="360" w:hanging="360"/>
      </w:pPr>
    </w:lvl>
    <w:lvl w:ilvl="2">
      <w:numFmt w:val="none"/>
      <w:lvlText w:val=""/>
      <w:lvlJc w:val="left"/>
      <w:pPr>
        <w:tabs>
          <w:tab w:val="num" w:pos="360"/>
        </w:tabs>
        <w:ind w:left="360" w:hanging="360"/>
      </w:pPr>
    </w:lvl>
    <w:lvl w:ilvl="3">
      <w:numFmt w:val="none"/>
      <w:lvlText w:val=""/>
      <w:lvlJc w:val="left"/>
      <w:pPr>
        <w:tabs>
          <w:tab w:val="num" w:pos="360"/>
        </w:tabs>
        <w:ind w:left="360" w:hanging="360"/>
      </w:pPr>
    </w:lvl>
    <w:lvl w:ilvl="4">
      <w:numFmt w:val="none"/>
      <w:lvlText w:val=""/>
      <w:lvlJc w:val="left"/>
      <w:pPr>
        <w:tabs>
          <w:tab w:val="num" w:pos="360"/>
        </w:tabs>
        <w:ind w:left="360" w:hanging="360"/>
      </w:pPr>
    </w:lvl>
    <w:lvl w:ilvl="5">
      <w:numFmt w:val="none"/>
      <w:lvlText w:val=""/>
      <w:lvlJc w:val="left"/>
      <w:pPr>
        <w:tabs>
          <w:tab w:val="num" w:pos="360"/>
        </w:tabs>
        <w:ind w:left="360" w:hanging="360"/>
      </w:pPr>
    </w:lvl>
    <w:lvl w:ilvl="6">
      <w:numFmt w:val="none"/>
      <w:lvlText w:val=""/>
      <w:lvlJc w:val="left"/>
      <w:pPr>
        <w:tabs>
          <w:tab w:val="num" w:pos="360"/>
        </w:tabs>
        <w:ind w:left="360" w:hanging="360"/>
      </w:pPr>
    </w:lvl>
    <w:lvl w:ilvl="7">
      <w:numFmt w:val="none"/>
      <w:lvlText w:val=""/>
      <w:lvlJc w:val="left"/>
      <w:pPr>
        <w:tabs>
          <w:tab w:val="num" w:pos="360"/>
        </w:tabs>
        <w:ind w:left="360" w:hanging="360"/>
      </w:pPr>
    </w:lvl>
    <w:lvl w:ilvl="8">
      <w:numFmt w:val="none"/>
      <w:lvlText w:val=""/>
      <w:lvlJc w:val="left"/>
      <w:pPr>
        <w:tabs>
          <w:tab w:val="num" w:pos="360"/>
        </w:tabs>
        <w:ind w:left="360" w:hanging="360"/>
      </w:pPr>
    </w:lvl>
  </w:abstractNum>
  <w:abstractNum w:abstractNumId="1">
    <w:multiLevelType w:val="hybridMultilevel"/>
    <w:name w:val="Numbered list 1"/>
    <w:lvl w:ilvl="0">
      <w:numFmt w:val="bullet"/>
      <w:suff w:val="tab"/>
      <w:lvlText w:val="¥"/>
      <w:lvlJc w:val="left"/>
      <w:pPr>
        <w:ind w:left="0" w:hanging="0"/>
      </w:pPr>
    </w:lvl>
    <w:lvl w:ilvl="1">
      <w:start w:val="0"/>
      <w:numFmt w:val="none"/>
      <w:suff w:val="tab"/>
      <w:lvlText w:val=""/>
      <w:lvlJc w:val="left"/>
      <w:pPr>
        <w:ind w:left="0" w:hanging="0"/>
      </w:pPr>
    </w:lvl>
    <w:lvl w:ilvl="2">
      <w:start w:val="0"/>
      <w:numFmt w:val="none"/>
      <w:suff w:val="tab"/>
      <w:lvlText w:val=""/>
      <w:lvlJc w:val="left"/>
      <w:pPr>
        <w:ind w:left="0" w:hanging="0"/>
      </w:pPr>
    </w:lvl>
    <w:lvl w:ilvl="3">
      <w:start w:val="0"/>
      <w:numFmt w:val="none"/>
      <w:suff w:val="tab"/>
      <w:lvlText w:val=""/>
      <w:lvlJc w:val="left"/>
      <w:pPr>
        <w:ind w:left="0" w:hanging="0"/>
      </w:pPr>
    </w:lvl>
    <w:lvl w:ilvl="4">
      <w:start w:val="0"/>
      <w:numFmt w:val="none"/>
      <w:suff w:val="tab"/>
      <w:lvlText w:val=""/>
      <w:lvlJc w:val="left"/>
      <w:pPr>
        <w:ind w:left="0" w:hanging="0"/>
      </w:pPr>
    </w:lvl>
    <w:lvl w:ilvl="5">
      <w:start w:val="0"/>
      <w:numFmt w:val="none"/>
      <w:suff w:val="tab"/>
      <w:lvlText w:val=""/>
      <w:lvlJc w:val="left"/>
      <w:pPr>
        <w:ind w:left="0" w:hanging="0"/>
      </w:pPr>
    </w:lvl>
    <w:lvl w:ilvl="6">
      <w:start w:val="0"/>
      <w:numFmt w:val="none"/>
      <w:suff w:val="tab"/>
      <w:lvlText w:val=""/>
      <w:lvlJc w:val="left"/>
      <w:pPr>
        <w:ind w:left="0" w:hanging="0"/>
      </w:pPr>
    </w:lvl>
    <w:lvl w:ilvl="7">
      <w:start w:val="0"/>
      <w:numFmt w:val="none"/>
      <w:suff w:val="tab"/>
      <w:lvlText w:val=""/>
      <w:lvlJc w:val="left"/>
      <w:pPr>
        <w:ind w:left="0" w:hanging="0"/>
      </w:pPr>
    </w:lvl>
    <w:lvl w:ilvl="8">
      <w:start w:val="0"/>
      <w:numFmt w:val="none"/>
      <w:suff w:val="tab"/>
      <w:lvlText w:val=""/>
      <w:lvlJc w:val="left"/>
      <w:pPr>
        <w:ind w:left="0" w:hanging="0"/>
      </w:pPr>
    </w:lvl>
  </w:abstractNum>
  <w:abstractNum w:abstractNumId="2">
    <w:multiLevelType w:val="hybridMultilevel"/>
    <w:name w:val="Numbered list 2"/>
    <w:lvl w:ilvl="0">
      <w:numFmt w:val="bullet"/>
      <w:suff w:val="tab"/>
      <w:lvlText w:val="¥"/>
      <w:lvlJc w:val="left"/>
      <w:pPr>
        <w:ind w:left="0" w:hanging="0"/>
      </w:pPr>
    </w:lvl>
    <w:lvl w:ilvl="1">
      <w:start w:val="0"/>
      <w:numFmt w:val="none"/>
      <w:suff w:val="tab"/>
      <w:lvlText w:val=""/>
      <w:lvlJc w:val="left"/>
      <w:pPr>
        <w:ind w:left="0" w:hanging="0"/>
      </w:pPr>
    </w:lvl>
    <w:lvl w:ilvl="2">
      <w:start w:val="0"/>
      <w:numFmt w:val="none"/>
      <w:suff w:val="tab"/>
      <w:lvlText w:val=""/>
      <w:lvlJc w:val="left"/>
      <w:pPr>
        <w:ind w:left="0" w:hanging="0"/>
      </w:pPr>
    </w:lvl>
    <w:lvl w:ilvl="3">
      <w:start w:val="0"/>
      <w:numFmt w:val="none"/>
      <w:suff w:val="tab"/>
      <w:lvlText w:val=""/>
      <w:lvlJc w:val="left"/>
      <w:pPr>
        <w:ind w:left="0" w:hanging="0"/>
      </w:pPr>
    </w:lvl>
    <w:lvl w:ilvl="4">
      <w:start w:val="0"/>
      <w:numFmt w:val="none"/>
      <w:suff w:val="tab"/>
      <w:lvlText w:val=""/>
      <w:lvlJc w:val="left"/>
      <w:pPr>
        <w:ind w:left="0" w:hanging="0"/>
      </w:pPr>
    </w:lvl>
    <w:lvl w:ilvl="5">
      <w:start w:val="0"/>
      <w:numFmt w:val="none"/>
      <w:suff w:val="tab"/>
      <w:lvlText w:val=""/>
      <w:lvlJc w:val="left"/>
      <w:pPr>
        <w:ind w:left="0" w:hanging="0"/>
      </w:pPr>
    </w:lvl>
    <w:lvl w:ilvl="6">
      <w:start w:val="0"/>
      <w:numFmt w:val="none"/>
      <w:suff w:val="tab"/>
      <w:lvlText w:val=""/>
      <w:lvlJc w:val="left"/>
      <w:pPr>
        <w:ind w:left="0" w:hanging="0"/>
      </w:pPr>
    </w:lvl>
    <w:lvl w:ilvl="7">
      <w:start w:val="0"/>
      <w:numFmt w:val="none"/>
      <w:suff w:val="tab"/>
      <w:lvlText w:val=""/>
      <w:lvlJc w:val="left"/>
      <w:pPr>
        <w:ind w:left="0" w:hanging="0"/>
      </w:pPr>
    </w:lvl>
    <w:lvl w:ilvl="8">
      <w:start w:val="0"/>
      <w:numFmt w:val="none"/>
      <w:suff w:val="tab"/>
      <w:lvlText w:val=""/>
      <w:lvlJc w:val="left"/>
      <w:pPr>
        <w:ind w:left="0" w:hanging="0"/>
      </w:pPr>
    </w:lvl>
  </w:abstractNum>
  <w:abstractNum w:abstractNumId="3">
    <w:multiLevelType w:val="hybridMultilevel"/>
    <w:name w:val="Numbered list 3"/>
    <w:lvl w:ilvl="0">
      <w:numFmt w:val="bullet"/>
      <w:suff w:val="tab"/>
      <w:lvlText w:val="¥"/>
      <w:lvlJc w:val="left"/>
      <w:pPr>
        <w:ind w:left="0" w:hanging="0"/>
      </w:pPr>
    </w:lvl>
    <w:lvl w:ilvl="1">
      <w:start w:val="0"/>
      <w:numFmt w:val="none"/>
      <w:suff w:val="tab"/>
      <w:lvlText w:val=""/>
      <w:lvlJc w:val="left"/>
      <w:pPr>
        <w:ind w:left="0" w:hanging="0"/>
      </w:pPr>
    </w:lvl>
    <w:lvl w:ilvl="2">
      <w:start w:val="0"/>
      <w:numFmt w:val="none"/>
      <w:suff w:val="tab"/>
      <w:lvlText w:val=""/>
      <w:lvlJc w:val="left"/>
      <w:pPr>
        <w:ind w:left="0" w:hanging="0"/>
      </w:pPr>
    </w:lvl>
    <w:lvl w:ilvl="3">
      <w:start w:val="0"/>
      <w:numFmt w:val="none"/>
      <w:suff w:val="tab"/>
      <w:lvlText w:val=""/>
      <w:lvlJc w:val="left"/>
      <w:pPr>
        <w:ind w:left="0" w:hanging="0"/>
      </w:pPr>
    </w:lvl>
    <w:lvl w:ilvl="4">
      <w:start w:val="0"/>
      <w:numFmt w:val="none"/>
      <w:suff w:val="tab"/>
      <w:lvlText w:val=""/>
      <w:lvlJc w:val="left"/>
      <w:pPr>
        <w:ind w:left="0" w:hanging="0"/>
      </w:pPr>
    </w:lvl>
    <w:lvl w:ilvl="5">
      <w:start w:val="0"/>
      <w:numFmt w:val="none"/>
      <w:suff w:val="tab"/>
      <w:lvlText w:val=""/>
      <w:lvlJc w:val="left"/>
      <w:pPr>
        <w:ind w:left="0" w:hanging="0"/>
      </w:pPr>
    </w:lvl>
    <w:lvl w:ilvl="6">
      <w:start w:val="0"/>
      <w:numFmt w:val="none"/>
      <w:suff w:val="tab"/>
      <w:lvlText w:val=""/>
      <w:lvlJc w:val="left"/>
      <w:pPr>
        <w:ind w:left="0" w:hanging="0"/>
      </w:pPr>
    </w:lvl>
    <w:lvl w:ilvl="7">
      <w:start w:val="0"/>
      <w:numFmt w:val="none"/>
      <w:suff w:val="tab"/>
      <w:lvlText w:val=""/>
      <w:lvlJc w:val="left"/>
      <w:pPr>
        <w:ind w:left="0" w:hanging="0"/>
      </w:pPr>
    </w:lvl>
    <w:lvl w:ilvl="8">
      <w:start w:val="0"/>
      <w:numFmt w:val="none"/>
      <w:suff w:val="tab"/>
      <w:lvlText w:val=""/>
      <w:lvlJc w:val="left"/>
      <w:pPr>
        <w:ind w:left="0" w:hanging="0"/>
      </w:pPr>
    </w:lvl>
  </w:abstractNum>
  <w:abstractNum w:abstractNumId="4">
    <w:multiLevelType w:val="singleLevel"/>
    <w:name w:val="Bullet 4"/>
    <w:lvl w:ilvl="0">
      <w:numFmt w:val="bullet"/>
      <w:suff w:val="tab"/>
      <w:lvlText w:val=""/>
      <w:lvlJc w:val="left"/>
      <w:pPr>
        <w:ind w:left="0" w:hanging="0"/>
      </w:pPr>
      <w:rPr>
        <w:rFonts w:ascii="Wingdings" w:hAnsi="Wingdings" w:eastAsia="Wingdings" w:cs="Wingdings"/>
      </w:rPr>
    </w:lvl>
  </w:abstractNum>
  <w:num w:numId="1">
    <w:abstractNumId w:val="1"/>
  </w:num>
  <w:num w:numId="2">
    <w:abstractNumId w:val="2"/>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8"/>
  <w:autoHyphenation w:val="1"/>
  <w:doNotShadeFormData w:val="1"/>
  <w:captions>
    <w:caption w:name="Table" w:pos="below" w:numFmt="decimal"/>
    <w:caption w:name="Figure" w:pos="below" w:numFmt="decimal"/>
    <w:caption w:name="Picture"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lowerRoman"/>
    <w:numStart w:val="1"/>
    <w:numRestart w:val="continuous"/>
  </w:endnotePr>
  <w:compat>
    <w:compatSetting w:name="compatibilityMode" w:uri="http://schemas.microsoft.com/office/word" w:val="15"/>
  </w:compat>
  <w:shapeDefaults>
    <o:shapedefaults v:ext="edit" spidmax="1026"/>
    <o:shapelayout v:ext="edit">
      <o:rules v:ext="edit"/>
    </o:shapelayout>
  </w:shapeDefaults>
  <w:tmPrefOne w:val="16"/>
  <w:tmPrefTwo w:val="1"/>
  <w:tmFmtPref w:val="54533195"/>
  <w:tmCommentsPr>
    <w:tmCommentsPlace w:val="0"/>
    <w:tmCommentsWidth w:val="3119"/>
    <w:tmCommentsColor w:val="-1"/>
  </w:tmCommentsPr>
  <w:tmReviewPr>
    <w:tmReviewEnabled w:val="0"/>
    <w:tmReviewShow w:val="1"/>
    <w:tmReviewPrint w:val="0"/>
    <w:tmRevisionNum w:val="20"/>
    <w:tmReviewMarkIns w:val="4"/>
    <w:tmReviewColorIns w:val="-1"/>
    <w:tmReviewMarkDel w:val="6"/>
    <w:tmReviewColorDel w:val="-1"/>
    <w:tmReviewMarkFmt w:val="1"/>
    <w:tmReviewColorFmt w:val="-1"/>
    <w:tmReviewMarkLn w:val="1"/>
    <w:tmReviewColorLn w:val="0"/>
    <w:tmReviewToolTip w:val="1"/>
  </w:tmReviewPr>
  <w:tmLastPos>
    <w:tmLastPosPage w:val="3"/>
    <w:tmLastPosSelect w:val="0"/>
    <w:tmLastPosFrameIdx w:val="0"/>
    <w:tmLastPosCaret>
      <w:tmLastPosPgfIdx w:val="89"/>
      <w:tmLastPosIdx w:val="45"/>
    </w:tmLastPosCaret>
    <w:tmLastPosAnchor>
      <w:tmLastPosPgfIdx w:val="0"/>
      <w:tmLastPosIdx w:val="0"/>
    </w:tmLastPosAnchor>
    <w:tmLastPosTblRect w:left="0" w:top="0" w:right="0" w:bottom="0"/>
  </w:tmLastPos>
  <w:tmAppRevision w:date="1763232900" w:val="1046" w:fileVer="342" w:fileVer64="64" w:fileVerOS="1"/>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hAnsi="Times New Roman" w:eastAsia="SimSun" w:cs="Times New Roman"/>
        <w:kern w:val="1"/>
        <w:sz w:val="20"/>
        <w:szCs w:val="20"/>
        <w:lang w:val="en-gb" w:eastAsia="zh-cn" w:bidi="ar-sa"/>
      </w:rPr>
    </w:rPrDefault>
    <w:pPrDefault>
      <w:pPr>
        <w:widowControl w:val="0"/>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key w:val="3120"/>
  </w:style>
  <w:style w:type="paragraph" w:styleId="para1">
    <w:name w:val="heading 1"/>
    <w:qFormat/>
    <w:basedOn w:val="para0"/>
    <w:next w:val="para0"/>
    <w:pPr>
      <w:spacing w:before="240" w:after="60"/>
      <w:keepNext/>
      <w:outlineLvl w:val="0"/>
      <w:keepLines/>
    </w:pPr>
    <w:rPr>
      <w:rFonts w:ascii="Arial" w:hAnsi="Arial" w:cs="Arial"/>
      <w:b/>
      <w:bCs/>
      <w:sz w:val="36"/>
      <w:szCs w:val="36"/>
    </w:rPr>
    <w:key w:val="3121"/>
  </w:style>
  <w:style w:type="paragraph" w:styleId="para2">
    <w:name w:val="heading 2"/>
    <w:qFormat/>
    <w:basedOn w:val="para1"/>
    <w:next w:val="para0"/>
    <w:pPr>
      <w:outlineLvl w:val="1"/>
    </w:pPr>
    <w:rPr>
      <w:sz w:val="32"/>
      <w:szCs w:val="32"/>
    </w:rPr>
    <w:key w:val="3122"/>
  </w:style>
  <w:style w:type="paragraph" w:styleId="para3">
    <w:name w:val="heading 3"/>
    <w:qFormat/>
    <w:basedOn w:val="para2"/>
    <w:next w:val="para0"/>
    <w:pPr>
      <w:outlineLvl w:val="2"/>
    </w:pPr>
    <w:rPr>
      <w:sz w:val="28"/>
      <w:szCs w:val="28"/>
    </w:rPr>
    <w:key w:val="3123"/>
  </w:style>
  <w:style w:type="character" w:styleId="char0" w:default="1">
    <w:name w:val="Default Paragraph Font"/>
  </w:style>
  <w:style w:type="table" w:default="1" w:styleId="TableNormal">
    <w:name w:val="Normal Table"/>
    <w:uiPriority w:val="99"/>
    <w:semiHidden/>
    <w:unhideWhenUsed/>
    <w:tblPr>
      <w:tblStyleRowBandSize w:val="1"/>
      <w:tblStyleColBandSize w:val="1"/>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docDefaults>
    <w:rPrDefault>
      <w:rPr>
        <w:rFonts w:ascii="Times New Roman" w:hAnsi="Times New Roman" w:eastAsia="SimSun" w:cs="Times New Roman"/>
        <w:kern w:val="1"/>
        <w:sz w:val="20"/>
        <w:szCs w:val="20"/>
        <w:lang w:val="en-gb" w:eastAsia="zh-cn" w:bidi="ar-sa"/>
      </w:rPr>
    </w:rPrDefault>
    <w:pPrDefault>
      <w:pPr>
        <w:widowControl w:val="0"/>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key w:val="3120"/>
  </w:style>
  <w:style w:type="paragraph" w:styleId="para1">
    <w:name w:val="heading 1"/>
    <w:qFormat/>
    <w:basedOn w:val="para0"/>
    <w:next w:val="para0"/>
    <w:pPr>
      <w:spacing w:before="240" w:after="60"/>
      <w:keepNext/>
      <w:outlineLvl w:val="0"/>
      <w:keepLines/>
    </w:pPr>
    <w:rPr>
      <w:rFonts w:ascii="Arial" w:hAnsi="Arial" w:cs="Arial"/>
      <w:b/>
      <w:bCs/>
      <w:sz w:val="36"/>
      <w:szCs w:val="36"/>
    </w:rPr>
    <w:key w:val="3121"/>
  </w:style>
  <w:style w:type="paragraph" w:styleId="para2">
    <w:name w:val="heading 2"/>
    <w:qFormat/>
    <w:basedOn w:val="para1"/>
    <w:next w:val="para0"/>
    <w:pPr>
      <w:outlineLvl w:val="1"/>
    </w:pPr>
    <w:rPr>
      <w:sz w:val="32"/>
      <w:szCs w:val="32"/>
    </w:rPr>
    <w:key w:val="3122"/>
  </w:style>
  <w:style w:type="paragraph" w:styleId="para3">
    <w:name w:val="heading 3"/>
    <w:qFormat/>
    <w:basedOn w:val="para2"/>
    <w:next w:val="para0"/>
    <w:pPr>
      <w:outlineLvl w:val="2"/>
    </w:pPr>
    <w:rPr>
      <w:sz w:val="28"/>
      <w:szCs w:val="28"/>
    </w:rPr>
    <w:key w:val="3123"/>
  </w:style>
  <w:style w:type="character" w:styleId="char0" w:default="1">
    <w:name w:val="Default Paragraph Font"/>
  </w:style>
  <w:style w:type="table" w:default="1" w:styleId="TableNormal">
    <w:name w:val="Normal Table"/>
    <w:uiPriority w:val="99"/>
    <w:semiHidden/>
    <w:unhideWhenUsed/>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SimSun"/>
        <a:cs typeface="Arial"/>
      </a:majorFont>
      <a:minorFont>
        <a:latin typeface="Times New Roman"/>
        <a:ea typeface="SimSu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rev.1046</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Derrick Coffee</cp:lastModifiedBy>
  <cp:revision>20</cp:revision>
  <dcterms:created xsi:type="dcterms:W3CDTF">2025-11-11T09:34:14Z</dcterms:created>
  <dcterms:modified xsi:type="dcterms:W3CDTF">2025-11-15T17:55:00Z</dcterms:modified>
</cp:coreProperties>
</file>