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svg" ContentType="image/svg+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body>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PAGE 1</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Transport for the South East Meeting, 5</w:t>
      </w:r>
      <w:r>
        <w:rPr>
          <w:rFonts w:ascii="Helvetica Neue Medium" w:hAnsi="Helvetica Neue Medium" w:eastAsia="Helvetica Neue Medium" w:cs="Helvetica Neue Medium"/>
          <w:sz w:val="24"/>
          <w:szCs w:val="24"/>
          <w:vertAlign w:val="superscript"/>
        </w:rPr>
        <w:t>th</w:t>
      </w:r>
      <w:r>
        <w:rPr>
          <w:rFonts w:ascii="Helvetica Neue Medium" w:hAnsi="Helvetica Neue Medium" w:eastAsia="Helvetica Neue Medium" w:cs="Helvetica Neue Medium"/>
          <w:sz w:val="24"/>
          <w:szCs w:val="24"/>
        </w:rPr>
        <w:t xml:space="preserve"> July 2022 - Jottings on Presentation/Dicussions on draft Strategic Investment Plan - SIP:</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‘Me’ = my thoughts</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Rupert Clubb intro - Mentions planning/transport/integration. Multi-Modal funding model for SIP project.</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Me: What about resource consumption reduction alongside carbon reduction?</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Me: De Vere: not much said of importance I thought. She was off to a Lords’ Transport Select Committee meeting with Huw Merriman MP in the chair.</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Stephen (of Steer, consultants to TFSE): Mentions ‘Transport’ and ‘Land Use’. Transport should be supporting development.</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 xml:space="preserve">Me: Transport interventions should also </w:t>
      </w:r>
      <w:r>
        <w:rPr>
          <w:rFonts w:ascii="Helvetica Neue Medium" w:hAnsi="Helvetica Neue Medium" w:eastAsia="Helvetica Neue Medium" w:cs="Helvetica Neue Medium"/>
          <w:i/>
          <w:iCs/>
          <w:sz w:val="24"/>
          <w:szCs w:val="24"/>
        </w:rPr>
        <w:t>shape</w:t>
      </w:r>
      <w:r>
        <w:rPr>
          <w:rFonts w:ascii="Helvetica Neue Medium" w:hAnsi="Helvetica Neue Medium" w:eastAsia="Helvetica Neue Medium" w:cs="Helvetica Neue Medium"/>
          <w:sz w:val="24"/>
          <w:szCs w:val="24"/>
        </w:rPr>
        <w:t xml:space="preserve"> development. Said this to R Clubb at coffee break. He agreed.</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Stephen: Emphasised importance of ‘South Coast Connectivity’ and ‘freight gateways’.</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Me: No mention of Eurostar or Eurotunnel - strange; or of Hastings - Ashford upgrade (electrification/double track).</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Stephen: A27 improvement, more Coastway rail and Brighton ‘mass transit’. Uckfield - Lewes railway reinstatement included in options, plus Kent link, Eridge to Tunbridge Wells. A21 - not advocating whole route dualling. HS1 extension to Rye, Hastings, Bexhill and Eastbourne also. Road User Charging in the mix, currently there’s a debate and a Transport Select Committee report.</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Me: Local rail stations where there’s new development; not large revenue for train operators but high value for local authorities where reduction in short car trips is important + air quality and reduced congestion (aids bus travellers)  are objectives important to communities.</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 xml:space="preserve">Rupert Clubb: SE is an ‘international gateway’ for freight. </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Me: Ashford not mentioned. ( Noted four man panel).</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 xml:space="preserve">Rupert Clubb: The A27 has been described as a ‘country lane’. </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Keith Glazier: It’s not the job of TFSE to do ‘little things’. Free flowing traffic is important; free flowing on an east-west coast road.</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 xml:space="preserve">Me: Accessibility is a key objective, not free flowing traffic. (Thought of traffic free flowing round the M25 non-stop. Someone would have to try and throw sandwiches through open car windows as they flowed interminably round London and they’d have </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PAGE 2</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 xml:space="preserve">to slow down to allow relatives to pass ‘porta-potties*’ through the window too as free flow doesn’t allow stopping for toilets.) * </w:t>
      </w:r>
      <w:r>
        <w:rPr>
          <w:rFonts w:ascii="Helvetica Neue Medium" w:hAnsi="Helvetica Neue Medium" w:eastAsia="Helvetica Neue Medium" w:cs="Helvetica Neue Medium"/>
          <w:i/>
          <w:iCs/>
          <w:sz w:val="24"/>
          <w:szCs w:val="24"/>
        </w:rPr>
        <w:t>These are chemical loos used on narrowboats and in caravans</w:t>
      </w:r>
      <w:r>
        <w:rPr>
          <w:rFonts w:ascii="Helvetica Neue Medium" w:hAnsi="Helvetica Neue Medium" w:eastAsia="Helvetica Neue Medium" w:cs="Helvetica Neue Medium"/>
          <w:sz w:val="24"/>
          <w:szCs w:val="24"/>
        </w:rPr>
        <w:t>.</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Keith Glazier: Road User Charging (RUC) will become important to disincentivise short car trips and increase take-up of sustainable modes/active travel.</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Rupert Clubb: Public Transport is more costly than car travel. Some reference to ‘non-digital’ users. Need to capture value of health benefits of ‘active travel’.</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Me: And social benefits.</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 xml:space="preserve">Ben KPMG: Technical Annex details SIP debate. ‘Wider benefits of the SIP (non-user) - good to flag that up. Mentioned A27 - RUC has a role. </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IoW ferries - fares: five times more costly than Scottish ferries.</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Mark Vallely (TFSE): Gov set up STBs for economy gains but they’re much wider than that. Congestion now  but can’t build our way out of that. Hence MMS approach.</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Other needs: Housing/Education/Digital etc.</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National policy measures needed too eg - RUC,better integration, modes funding, land use/transport, and institutionally - devolution of powers (to STBs). TFSE meet regularly with other STBs</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Me: Good for dissemination of ‘best practice’.</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Roddy (Sustrans): Reduce inequalities - TFSE looking at ‘place’ and opps for cheap but very cost effective (high BCR) walking/cycling measures, givingchildren space to play and delivering many social and health benefits.</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Yogesh Patel (Nat Highways): NH to adopt sustainable practice in buildings operation and construction, plus measures to drive behavioural change. RUC will have to contain ‘pay at point of use’ technology and practice. Regions or national gov can do this - not local authorities. We may experience booking road space before we travel.</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 xml:space="preserve">Roddy: Make choice easier - access to stations, bus stops, cycle storage already at stations. </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Me: Include this at some bus stops.</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Alistair (Port of Southampton): Largest UK cruise terminal, large export facilities, one of 3 major UK container ports + Liverpool. Manufacturers need us. We are UK’s entry/exit to the world.</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Claire (UK Warehousing): We need a freight network and more warehousing and workers. Warehousing is ignored - but good words in DfT National Freight Plan - though not strong in spatial strategy. Electrified rail freight connections needed, not diesel haulage. Reliability of collection/delivery crucially important.</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 xml:space="preserve">Me: Mentioned parcels traffic to Claire at tea - Poste France promising cargo bike deivery of parcels in 22 Metro cities of France. Orion in UK repurposing old Thameslink trains for parcels. Royal Mail increasing use of rail for parcels. Could help decongest </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PAGE 3</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trunk roads and  streets from LGVs?</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Roddy: Local cargo bike delivery should be a growing element of the picture.</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 xml:space="preserve">Alistair: We must have rail investment - there IS capacity but we currently can’t move above 30% share for rail in shifting container traffic. Power network is inadequate for rail (as it is also for warehouses - Claire). </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Ports: shortage of drivers means more stuff has to be stored!</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Claire: Warehouses also short of staff. Only 2% of HGV drivers are women. A ‘Freight Unit’ at TFSE would be useful.</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Freeports are not a ‘slam-dunk’ great idea - might simply shift problems and jobs around.</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Mark Vallely: Driver facilities must be upgraded. Planning for warehousing is decided locally, benefits accrue nationally. Housing allocations are determined nationally, benefits accrue locally.</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James Daly (Uni of Surrey): Highest NOX emissions in UK are on the A3 behind the university.</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Technical fixes are a long way off and effectiveness uncertain. We should fly less and, for example, choose rail - eg Eurostar for the continent and onward rail connections.</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Me: No mention of Eurostar or Eurotunnel - passengers/freight. Originally, there were planned direct and overnight trains from Cardiff/Edinburgh/ Manchester. The sleeper cars were sold off to Canada and plans gathered dust while now European overnight trains are seeing expansion across the continent. Ashford International station is unused requiring expensive fares to London St Pancras from the TFSE region.</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Ben Spencer, MP (Weybridge): Science has the answers: autonomous vehicles, hydrogen cells and electric planes, electric vehicles, etc.</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Me: Science and Technology Select Committee report 2019, emphasises folly of exchanging all petrol/diesel vehicles for electric as it would replicate and worsen congestion, resource consumtion, urban srawl with ‘car dependent’ estates, road casualties, obesity and health problems, etc.</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Claire Haigh (Greener TransportSolutions): We have to use less and face up to the climate crisis we’re in (applause).</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 xml:space="preserve">(Marc Roberts of ‘Simplifai’ - (traffic signal technolgy development), in a tea break chat: ‘Filtered permeability in a Haringey  school catchment area saw a 25% increase in children cycling to school). </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 xml:space="preserve">John Halsall (Network Rail Southern): SIP is brilliant. Great British Railways (GBR) is aligned in its components and regionalised with alignment also with TFSE. Top of list? Electrification of the Uckfield line (Rupert Clubb adds: with a spur to Tunbridge Wells but doesn’t mention reopening to Lewes and the coast - though this option is in the list </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PAGE 4</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 xml:space="preserve">of potential interventions in the SIP. Infrastructure and operations will ne managed by the same org: GBR. Road and rail investment </w:t>
      </w:r>
      <w:r>
        <w:rPr>
          <w:rFonts w:ascii="Helvetica Neue Medium" w:hAnsi="Helvetica Neue Medium" w:eastAsia="Helvetica Neue Medium" w:cs="Helvetica Neue Medium"/>
          <w:i/>
          <w:iCs/>
          <w:sz w:val="24"/>
          <w:szCs w:val="24"/>
        </w:rPr>
        <w:t>shouldn’t</w:t>
      </w:r>
      <w:r>
        <w:rPr>
          <w:rFonts w:ascii="Helvetica Neue Medium" w:hAnsi="Helvetica Neue Medium" w:eastAsia="Helvetica Neue Medium" w:cs="Helvetica Neue Medium"/>
          <w:sz w:val="24"/>
          <w:szCs w:val="24"/>
        </w:rPr>
        <w:t xml:space="preserve"> be aligned.</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 xml:space="preserve">(Me: Didn’t quite get that unless it meant some proportionate adjustment should be </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 xml:space="preserve">made or integration of transport/land use flowing from policies and strategies and measures to implement these would determine appropritae interventions.) </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Richard Leonard (National Highways): SIP has ambition and passion. We can more quickly do incremental improvements to the highway network and longer trem schemes.</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 xml:space="preserve">Me: Invited to name a single scheme he’d choose to prioritise - he paused and avoided the temptation, leaving the audience with a strong improssion he had one in mind. </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Rupert Clubb (TFSE): Are you maximising road construction?</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Richard L: No. We have had robust conversations.</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Rupert Clubb:We have important corridors - rail and road - people need to move around.</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John Halsall (Netwrk Rail):We’ll choose things we need to fight for..we won’t get everything. First/last mile access very important.</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Me: A bit defeatist?</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Hope this is helpful as an ‘aide memoire’.</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Best</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t>Derrick</w:t>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p>
      <w:pPr>
        <w:rPr>
          <w:rFonts w:ascii="Helvetica Neue Medium" w:hAnsi="Helvetica Neue Medium" w:eastAsia="Helvetica Neue Medium" w:cs="Helvetica Neue Medium"/>
          <w:sz w:val="24"/>
          <w:szCs w:val="24"/>
        </w:rPr>
      </w:pPr>
      <w:r>
        <w:rPr>
          <w:rFonts w:ascii="Helvetica Neue Medium" w:hAnsi="Helvetica Neue Medium" w:eastAsia="Helvetica Neue Medium" w:cs="Helvetica Neue Medium"/>
          <w:sz w:val="24"/>
          <w:szCs w:val="24"/>
        </w:rPr>
      </w:r>
    </w:p>
    <w:sectPr>
      <w:footnotePr>
        <w:pos w:val="pageBottom"/>
        <w:numFmt w:val="decimal"/>
        <w:numStart w:val="1"/>
        <w:numRestart w:val="continuous"/>
      </w:footnotePr>
      <w:endnotePr>
        <w:pos w:val="docEnd"/>
        <w:numFmt w:val="lowerRoman"/>
        <w:numStart w:val="1"/>
        <w:numRestart w:val="continuous"/>
      </w:endnotePr>
      <w:type w:val="continuous"/>
      <w:pgSz w:h="16839" w:w="11907"/>
      <w:pgMar w:left="1134" w:top="1134" w:right="1134" w:bottom="1134" w:header="0" w:footer="0"/>
      <w:paperSrc w:first="0" w:other="0" a="0" b="0"/>
      <w:pgNumType w:fmt="decimal"/>
      <w:tmGutter w:val="1"/>
      <w:mirrorMargins w:val="0"/>
      <w:tmSection w:h="-1"/>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asic Roman">
    <w:charset w:val="00"/>
    <w:family w:val="roman"/>
    <w:pitch w:val="default"/>
  </w:font>
  <w:font w:name="Basic Sans">
    <w:charset w:val="00"/>
    <w:family w:val="roman"/>
    <w:pitch w:val="default"/>
  </w:font>
  <w:font w:name="Times New Roman">
    <w:charset w:val="00"/>
    <w:family w:val="roman"/>
    <w:pitch w:val="default"/>
  </w:font>
  <w:font w:name="SimSun">
    <w:charset w:val="00"/>
    <w:family w:val="auto"/>
    <w:pitch w:val="default"/>
  </w:font>
  <w:font w:name="Arial">
    <w:charset w:val="00"/>
    <w:family w:val="swiss"/>
    <w:pitch w:val="default"/>
  </w:font>
  <w:font w:name="Helvetica Neue">
    <w:charset w:val="00"/>
    <w:family w:val="roman"/>
    <w:pitch w:val="default"/>
  </w:font>
  <w:font w:name="Helvetica Neue Medium">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1"/>
  <w:doNotShadeFormData w:val="1"/>
  <w:captions>
    <w:caption w:name="Table" w:pos="below" w:numFmt="decimal"/>
    <w:caption w:name="Figure" w:pos="below" w:numFmt="decimal"/>
    <w:caption w:name="Picture"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lowerRoman"/>
    <w:numStart w:val="1"/>
    <w:numRestart w:val="continuous"/>
  </w:endnotePr>
  <w:compat>
    <w:compatSetting w:name="compatibilityMode" w:uri="http://schemas.microsoft.com/office/word" w:val="15"/>
  </w:compat>
  <w:shapeDefaults>
    <o:shapedefaults v:ext="edit" spidmax="1026"/>
    <o:shapelayout v:ext="edit">
      <o:rules v:ext="edit"/>
    </o:shapelayout>
  </w:shapeDefaults>
  <w:tmPrefOne w:val="16"/>
  <w:tmPrefTwo w:val="1"/>
  <w:tmFmtPref w:val="54533195"/>
  <w:tmCommentsPr>
    <w:tmCommentsPlace w:val="0"/>
    <w:tmCommentsWidth w:val="3119"/>
    <w:tmCommentsColor w:val="-1"/>
  </w:tmCommentsPr>
  <w:tmReviewPr>
    <w:tmReviewEnabled w:val="0"/>
    <w:tmReviewShow w:val="1"/>
    <w:tmReviewPrint w:val="0"/>
    <w:tmRevisionNum w:val="5"/>
    <w:tmReviewMarkIns w:val="4"/>
    <w:tmReviewColorIns w:val="-1"/>
    <w:tmReviewMarkDel w:val="6"/>
    <w:tmReviewColorDel w:val="-1"/>
    <w:tmReviewMarkFmt w:val="1"/>
    <w:tmReviewColorFmt w:val="-1"/>
    <w:tmReviewMarkLn w:val="1"/>
    <w:tmReviewColorLn w:val="0"/>
    <w:tmReviewToolTip w:val="0"/>
  </w:tmReviewPr>
  <w:tmLastPos>
    <w:tmLastPosPage w:val="3"/>
    <w:tmLastPosSelect w:val="0"/>
    <w:tmLastPosFrameIdx w:val="0"/>
    <w:tmLastPosCaret>
      <w:tmLastPosPgfIdx w:val="113"/>
      <w:tmLastPosIdx w:val="0"/>
    </w:tmLastPosCaret>
    <w:tmLastPosAnchor>
      <w:tmLastPosPgfIdx w:val="0"/>
      <w:tmLastPosIdx w:val="0"/>
    </w:tmLastPosAnchor>
    <w:tmLastPosTblRect w:left="0" w:top="0" w:right="0" w:bottom="0"/>
  </w:tmLastPos>
  <w:tmAppRevision w:date="1672840636" w:val="1046" w:fileVer="342" w:fileVer64="64" w:fileVerOS="1"/>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SimSun" w:cs="Times New Roman"/>
        <w:kern w:val="1"/>
        <w:sz w:val="20"/>
        <w:szCs w:val="20"/>
        <w:lang w:val="en-gb"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3120"/>
  </w:style>
  <w:style w:type="paragraph" w:styleId="para1">
    <w:name w:val="heading 1"/>
    <w:qFormat/>
    <w:basedOn w:val="para0"/>
    <w:next w:val="para0"/>
    <w:pPr>
      <w:spacing w:before="240" w:after="60"/>
      <w:keepNext/>
      <w:outlineLvl w:val="0"/>
      <w:keepLines/>
    </w:pPr>
    <w:rPr>
      <w:rFonts w:ascii="Arial" w:hAnsi="Arial" w:cs="Arial"/>
      <w:b/>
      <w:bCs/>
      <w:sz w:val="36"/>
      <w:szCs w:val="36"/>
    </w:rPr>
    <w:key w:val="3121"/>
  </w:style>
  <w:style w:type="paragraph" w:styleId="para2">
    <w:name w:val="heading 2"/>
    <w:qFormat/>
    <w:basedOn w:val="para1"/>
    <w:next w:val="para0"/>
    <w:pPr>
      <w:outlineLvl w:val="1"/>
    </w:pPr>
    <w:rPr>
      <w:sz w:val="32"/>
      <w:szCs w:val="32"/>
    </w:rPr>
    <w:key w:val="3122"/>
  </w:style>
  <w:style w:type="paragraph" w:styleId="para3">
    <w:name w:val="heading 3"/>
    <w:qFormat/>
    <w:basedOn w:val="para2"/>
    <w:next w:val="para0"/>
    <w:pPr>
      <w:outlineLvl w:val="2"/>
    </w:pPr>
    <w:rPr>
      <w:sz w:val="28"/>
      <w:szCs w:val="28"/>
    </w:rPr>
    <w:key w:val="3123"/>
  </w:style>
  <w:style w:type="character" w:styleId="char0" w:default="1">
    <w:name w:val="Default Paragraph Font"/>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docDefaults>
    <w:rPrDefault>
      <w:rPr>
        <w:rFonts w:ascii="Times New Roman" w:hAnsi="Times New Roman" w:eastAsia="SimSun" w:cs="Times New Roman"/>
        <w:kern w:val="1"/>
        <w:sz w:val="20"/>
        <w:szCs w:val="20"/>
        <w:lang w:val="en-gb"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3120"/>
  </w:style>
  <w:style w:type="paragraph" w:styleId="para1">
    <w:name w:val="heading 1"/>
    <w:qFormat/>
    <w:basedOn w:val="para0"/>
    <w:next w:val="para0"/>
    <w:pPr>
      <w:spacing w:before="240" w:after="60"/>
      <w:keepNext/>
      <w:outlineLvl w:val="0"/>
      <w:keepLines/>
    </w:pPr>
    <w:rPr>
      <w:rFonts w:ascii="Arial" w:hAnsi="Arial" w:cs="Arial"/>
      <w:b/>
      <w:bCs/>
      <w:sz w:val="36"/>
      <w:szCs w:val="36"/>
    </w:rPr>
    <w:key w:val="3121"/>
  </w:style>
  <w:style w:type="paragraph" w:styleId="para2">
    <w:name w:val="heading 2"/>
    <w:qFormat/>
    <w:basedOn w:val="para1"/>
    <w:next w:val="para0"/>
    <w:pPr>
      <w:outlineLvl w:val="1"/>
    </w:pPr>
    <w:rPr>
      <w:sz w:val="32"/>
      <w:szCs w:val="32"/>
    </w:rPr>
    <w:key w:val="3122"/>
  </w:style>
  <w:style w:type="paragraph" w:styleId="para3">
    <w:name w:val="heading 3"/>
    <w:qFormat/>
    <w:basedOn w:val="para2"/>
    <w:next w:val="para0"/>
    <w:pPr>
      <w:outlineLvl w:val="2"/>
    </w:pPr>
    <w:rPr>
      <w:sz w:val="28"/>
      <w:szCs w:val="28"/>
    </w:rPr>
    <w:key w:val="3123"/>
  </w:style>
  <w:style w:type="character" w:styleId="char0" w:default="1">
    <w:name w:val="Default Paragraph Font"/>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SimSun"/>
        <a:cs typeface="Arial"/>
      </a:majorFont>
      <a:minorFont>
        <a:latin typeface="Times New Roman"/>
        <a:ea typeface="SimSu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rev.1046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Derrick Coffee</cp:lastModifiedBy>
  <cp:revision>5</cp:revision>
  <dcterms:created xsi:type="dcterms:W3CDTF">2022-07-06T00:42:21Z</dcterms:created>
  <dcterms:modified xsi:type="dcterms:W3CDTF">2023-01-04T12:57:16Z</dcterms:modified>
</cp:coreProperties>
</file>